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0.png" ContentType="image/png"/>
  <Override PartName="/word/media/rId5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2025-03-18</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3" w:name="methods"/>
    <w:p>
      <w:pPr>
        <w:pStyle w:val="Heading1"/>
      </w:pPr>
      <w:r>
        <w:t xml:space="preserve">6. Methods</w:t>
      </w:r>
    </w:p>
    <w:bookmarkStart w:id="37"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w:t>
      </w:r>
      <m:oMath>
        <m:sSub>
          <m:e>
            <m:r>
              <m:t>M</m:t>
            </m:r>
          </m:e>
          <m:sub>
            <m:r>
              <m:t>i</m:t>
            </m:r>
          </m:sub>
        </m:sSub>
      </m:oMath>
      <w:r>
        <w:t xml:space="preserve">) and resource (</w:t>
      </w:r>
      <m:oMath>
        <m:sSub>
          <m:e>
            <m:r>
              <m:t>M</m:t>
            </m:r>
          </m:e>
          <m:sub>
            <m:r>
              <m:t>j</m:t>
            </m:r>
          </m:sub>
        </m:sSub>
      </m:oMath>
      <w:r>
        <w:t xml:space="preserve">) body sizes - which supposedly stems from niche theory (still trying to reconcile that).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oMath>
      <w:r>
        <w:t xml:space="preserve"> </w:t>
      </w:r>
      <w:r>
        <w:t xml:space="preserve">= 1.41,</w:t>
      </w:r>
      <w:r>
        <w:t xml:space="preserve"> </w:t>
      </w:r>
      <m:oMath>
        <m:r>
          <m:t>δ</m:t>
        </m:r>
      </m:oMath>
      <w:r>
        <w:t xml:space="preserve"> </w:t>
      </w:r>
      <w:r>
        <w:t xml:space="preserve">= 3.75, and</w:t>
      </w:r>
      <w:r>
        <w:t xml:space="preserve"> </w:t>
      </w:r>
      <m:oMath>
        <m:r>
          <m:t>γ</m:t>
        </m:r>
      </m:oMath>
      <w:r>
        <w:t xml:space="preserve"> </w:t>
      </w:r>
      <w:r>
        <w:t xml:space="preserve">= 1.87.</w:t>
      </w:r>
    </w:p>
    <w:bookmarkEnd w:id="34"/>
    <w:bookmarkStart w:id="35" w:name="l-matrix"/>
    <w:p>
      <w:pPr>
        <w:pStyle w:val="Heading3"/>
      </w:pPr>
      <w:r>
        <w:t xml:space="preserve">6.1.4 L matrix</w:t>
      </w:r>
    </w:p>
    <w:p>
      <w:pPr>
        <w:pStyle w:val="FirstParagraph"/>
      </w:pPr>
      <w:r>
        <w:t xml:space="preserve">For now we can link to thATNr package</w:t>
      </w:r>
      <w:r>
        <w:t xml:space="preserve"> </w:t>
      </w:r>
      <w:r>
        <w:t xml:space="preserve">[12]</w:t>
      </w:r>
      <w:r>
        <w:t xml:space="preserve"> </w:t>
      </w:r>
      <w:r>
        <w:t xml:space="preserve">until I can find a more suitable manuscript that breaks down this construction method.</w:t>
      </w:r>
      <w:r>
        <w:t xml:space="preserve"> </w:t>
      </w:r>
      <w:r>
        <w:t xml:space="preserve">[13]</w:t>
      </w:r>
      <w:r>
        <w:t xml:space="preserve"> </w:t>
      </w:r>
      <w:r>
        <w:t xml:space="preserve">Interactions are determined by allometric rules (ratio of consumer (</w:t>
      </w:r>
      <m:oMath>
        <m:sSub>
          <m:e>
            <m:r>
              <m:t>M</m:t>
            </m:r>
          </m:e>
          <m:sub>
            <m:r>
              <m:t>i</m:t>
            </m:r>
          </m:sub>
        </m:sSub>
      </m:oMath>
      <w:r>
        <w:t xml:space="preserve">) and resource (</w:t>
      </w:r>
      <m:oMath>
        <m:sSub>
          <m:e>
            <m:r>
              <m:t>M</m:t>
            </m:r>
          </m:e>
          <m:sub>
            <m:r>
              <m:t>j</m:t>
            </m:r>
          </m:sub>
        </m:sSub>
      </m:oMath>
      <w:r>
        <w:t xml:space="preserve">) body sizes) and a Ricker function as defined by</w:t>
      </w:r>
      <w:r>
        <w:t xml:space="preserve"> </w:t>
      </w:r>
      <m:oMath>
        <m:sSub>
          <m:e>
            <m:r>
              <m:t>R</m:t>
            </m:r>
          </m:e>
          <m:sub>
            <m:r>
              <m:t>o</m:t>
            </m:r>
            <m:r>
              <m:t>p</m:t>
            </m:r>
            <m:r>
              <m:t>t</m:t>
            </m:r>
          </m:sub>
        </m:sSub>
      </m:oMath>
      <w:r>
        <w:t xml:space="preserve"> </w:t>
      </w:r>
      <w:r>
        <w:t xml:space="preserve">and</w:t>
      </w:r>
      <w:r>
        <w:t xml:space="preserve"> </w:t>
      </w:r>
      <m:oMath>
        <m:r>
          <m:t>γ</m:t>
        </m:r>
      </m:oMath>
      <w:r>
        <w:t xml:space="preserve"> </w:t>
      </w:r>
      <w:r>
        <w:t xml:space="preserve">and returns The probability of a link (</w:t>
      </w:r>
      <m:oMath>
        <m:sSub>
          <m:e>
            <m:r>
              <m:t>P</m:t>
            </m:r>
          </m:e>
          <m:sub>
            <m:r>
              <m:t>i</m:t>
            </m:r>
            <m:r>
              <m:t>j</m:t>
            </m:r>
          </m:sub>
        </m:sSub>
      </m:oMath>
      <w:r>
        <w:t xml:space="preserve">) existing between a consumer and resource, and is defined as follows:</w:t>
      </w:r>
    </w:p>
    <w:p>
      <w:pPr>
        <w:pStyle w:val="BodyText"/>
      </w:pPr>
      <m:oMathPara>
        <m:oMathParaPr>
          <m:jc m:val="center"/>
        </m:oMathParaPr>
        <m:oMath>
          <m:sSub>
            <m:e>
              <m:r>
                <m:t>P</m:t>
              </m:r>
            </m:e>
            <m:sub>
              <m:r>
                <m:t>i</m:t>
              </m:r>
              <m:r>
                <m:t>j</m:t>
              </m:r>
            </m:sub>
          </m:sSub>
          <m:r>
            <m:rPr>
              <m:sty m:val="p"/>
            </m:rPr>
            <m:t>=</m:t>
          </m:r>
          <m:sSup>
            <m:e>
              <m:d>
                <m:dPr>
                  <m:begChr m:val="("/>
                  <m:endChr m:val=")"/>
                  <m:sepChr m:val=""/>
                  <m:grow/>
                </m:dPr>
                <m:e>
                  <m:r>
                    <m:t>L</m:t>
                  </m:r>
                  <m:r>
                    <m:rPr>
                      <m:sty m:val="p"/>
                    </m:rPr>
                    <m:t>×</m:t>
                  </m:r>
                  <m:r>
                    <m:rPr>
                      <m:sty m:val="p"/>
                    </m:rPr>
                    <m:t>exp</m:t>
                  </m:r>
                  <m:d>
                    <m:dPr>
                      <m:begChr m:val="("/>
                      <m:endChr m:val=")"/>
                      <m:sepChr m:val=""/>
                      <m:grow/>
                    </m:dPr>
                    <m:e>
                      <m:r>
                        <m:t>1</m:t>
                      </m:r>
                      <m:r>
                        <m:rPr>
                          <m:sty m:val="p"/>
                        </m:rPr>
                        <m:t>−</m:t>
                      </m:r>
                      <m:r>
                        <m:t>L</m:t>
                      </m:r>
                    </m:e>
                  </m:d>
                </m:e>
              </m:d>
            </m:e>
            <m:sup>
              <m:r>
                <m:t>γ</m:t>
              </m:r>
            </m:sup>
          </m:sSup>
        </m:oMath>
      </m:oMathPara>
    </w:p>
    <w:p>
      <w:pPr>
        <w:pStyle w:val="FirstParagraph"/>
      </w:pPr>
      <w:r>
        <w:t xml:space="preserve">where</w:t>
      </w:r>
    </w:p>
    <w:p>
      <w:pPr>
        <w:pStyle w:val="BodyText"/>
      </w:pPr>
      <m:oMathPara>
        <m:oMathParaPr>
          <m:jc m:val="center"/>
        </m:oMathParaPr>
        <m:oMath>
          <m:r>
            <m:t>L</m:t>
          </m:r>
          <m:r>
            <m:rPr>
              <m:sty m:val="p"/>
            </m:rPr>
            <m:t>=</m:t>
          </m:r>
          <m:f>
            <m:fPr>
              <m:type m:val="bar"/>
            </m:fPr>
            <m:num>
              <m:sSub>
                <m:e>
                  <m:r>
                    <m:t>M</m:t>
                  </m:r>
                </m:e>
                <m:sub>
                  <m:r>
                    <m:t>i</m:t>
                  </m:r>
                </m:sub>
              </m:sSub>
            </m:num>
            <m:den>
              <m:sSub>
                <m:e>
                  <m:r>
                    <m:t>M</m:t>
                  </m:r>
                </m:e>
                <m:sub>
                  <m:r>
                    <m:t>j</m:t>
                  </m:r>
                </m:sub>
              </m:sSub>
              <m:r>
                <m:rPr>
                  <m:sty m:val="p"/>
                </m:rPr>
                <m:t>×</m:t>
              </m:r>
              <m:sSub>
                <m:e>
                  <m:r>
                    <m:t>R</m:t>
                  </m:r>
                </m:e>
                <m:sub>
                  <m:r>
                    <m:t>o</m:t>
                  </m:r>
                  <m:r>
                    <m:t>p</m:t>
                  </m:r>
                  <m:r>
                    <m:t>t</m:t>
                  </m:r>
                </m:sub>
              </m:sSub>
            </m:den>
          </m:f>
        </m:oMath>
      </m:oMathPara>
    </w:p>
    <w:p>
      <w:pPr>
        <w:pStyle w:val="FirstParagraph"/>
      </w:pPr>
      <w:r>
        <w:t xml:space="preserve">It is also possible to apply a threshold value to</w:t>
      </w:r>
      <w:r>
        <w:t xml:space="preserve"> </w:t>
      </w:r>
      <m:oMath>
        <m:sSub>
          <m:e>
            <m:r>
              <m:t>P</m:t>
            </m:r>
          </m:e>
          <m:sub>
            <m:r>
              <m:t>i</m:t>
            </m:r>
            <m:r>
              <m:t>j</m:t>
            </m:r>
          </m:sub>
        </m:sSub>
      </m:oMath>
      <w:r>
        <w:t xml:space="preserve">, whereby any probabilities below that threshold are set to zero.</w:t>
      </w:r>
    </w:p>
    <w:bookmarkEnd w:id="35"/>
    <w:bookmarkStart w:id="36" w:name="niche-model"/>
    <w:p>
      <w:pPr>
        <w:pStyle w:val="Heading3"/>
      </w:pPr>
      <w:r>
        <w:t xml:space="preserve">6.1.5 Niche model</w:t>
      </w:r>
    </w:p>
    <w:p>
      <w:pPr>
        <w:pStyle w:val="FirstParagraph"/>
      </w:pPr>
      <w:r>
        <w:t xml:space="preserve">The niche model</w:t>
      </w:r>
      <w:r>
        <w:t xml:space="preserve"> </w:t>
      </w:r>
      <w:r>
        <w:t xml:space="preserve">[14]</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[15]</w:t>
      </w:r>
      <w:r>
        <w:t xml:space="preserve">.</w:t>
      </w:r>
    </w:p>
    <w:bookmarkEnd w:id="36"/>
    <w:bookmarkEnd w:id="37"/>
    <w:bookmarkStart w:id="42"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[16]</w:t>
      </w:r>
      <w:r>
        <w:t xml:space="preserve"> </w:t>
      </w:r>
      <w:r>
        <w:t xml:space="preserve">we do still lack a clear set of guidelines for assessing how well models recover network structure</w:t>
      </w:r>
      <w:r>
        <w:t xml:space="preserve"> </w:t>
      </w:r>
      <w:r>
        <w:t xml:space="preserve">[17]</w:t>
      </w:r>
      <w:r>
        <w:t xml:space="preserve"> </w:t>
      </w:r>
      <w:r>
        <w:t xml:space="preserve">and it is beneficial to use a small subset of metrics that can clearly be tied to broader aspects of network function or capturing a ecological process.</w:t>
      </w:r>
    </w:p>
    <w:bookmarkStart w:id="38" w:name="macro-network-properties"/>
    <w:p>
      <w:pPr>
        <w:pStyle w:val="Heading3"/>
      </w:pPr>
      <w:r>
        <w:t xml:space="preserve">6.2.1 Macro network properties</w:t>
      </w:r>
    </w:p>
    <w:p>
      <w:pPr>
        <w:pStyle w:val="FirstParagraph"/>
      </w:pPr>
      <w:r>
        <w:rPr>
          <w:b/>
          <w:bCs/>
        </w:rPr>
        <w:t xml:space="preserve">Connectance</w:t>
      </w:r>
      <w:r>
        <w:t xml:space="preserve"> </w:t>
      </w:r>
      <w:r>
        <w:t xml:space="preserve">[18]</w:t>
      </w:r>
      <w:r>
        <w:t xml:space="preserve"> </w:t>
      </w:r>
      <w:r>
        <w:t xml:space="preserve">has been shown to be the feature of networks that underpin a series of other properties and function</w:t>
      </w:r>
      <w:r>
        <w:t xml:space="preserve"> </w:t>
      </w:r>
      <w:r>
        <w:t xml:space="preserve">[19]</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[20]</w:t>
      </w:r>
      <w:r>
        <w:t xml:space="preserve">), we could also look at the rank/rank deficiency of networks which (theoretically) represents the number fo unique interaction strategies in the network</w:t>
      </w:r>
      <w:r>
        <w:t xml:space="preserve"> </w:t>
      </w:r>
      <w:r>
        <w:t xml:space="preserve">[20]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8"/>
    <w:bookmarkStart w:id="39"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[21,22]</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9"/>
    <w:bookmarkStart w:id="40"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[23]</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15]</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[24]</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40"/>
    <w:bookmarkStart w:id="41" w:name="interactions"/>
    <w:p>
      <w:pPr>
        <w:pStyle w:val="Heading3"/>
      </w:pPr>
      <w:r>
        <w:t xml:space="preserve">6.2.4 Interactions</w:t>
      </w:r>
    </w:p>
    <w:p>
      <w:pPr>
        <w:pStyle w:val="FirstParagraph"/>
      </w:pPr>
      <w:r>
        <w:rPr>
          <w:b/>
          <w:bCs/>
        </w:rPr>
        <w:t xml:space="preserve">Interaction turnover</w:t>
      </w:r>
      <w:r>
        <w:t xml:space="preserve"> </w:t>
      </w:r>
      <w:r>
        <w:t xml:space="preserve">[24]</w:t>
      </w:r>
      <w:r>
        <w:t xml:space="preserve"> </w:t>
      </w:r>
      <w:r>
        <w:t xml:space="preserve">tells us which interactions are</w:t>
      </w:r>
      <w:r>
        <w:t xml:space="preserve"> </w:t>
      </w:r>
      <w:r>
        <w:t xml:space="preserve">‘conserved’</w:t>
      </w:r>
      <w:r>
        <w:t xml:space="preserve"> </w:t>
      </w:r>
      <w:r>
        <w:t xml:space="preserve">(shared) across the networks from the same period but constructed using different models.</w:t>
      </w:r>
    </w:p>
    <w:bookmarkEnd w:id="41"/>
    <w:bookmarkEnd w:id="42"/>
    <w:bookmarkEnd w:id="43"/>
    <w:bookmarkStart w:id="58" w:name="results"/>
    <w:p>
      <w:pPr>
        <w:pStyle w:val="Heading1"/>
      </w:pPr>
      <w:r>
        <w:t xml:space="preserve">7. Results</w:t>
      </w:r>
    </w:p>
    <w:bookmarkStart w:id="48"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7" w:name="fig-summary"/>
          <w:p>
            <w:pPr>
              <w:pStyle w:val="Compact"/>
              <w:jc w:val="center"/>
            </w:pPr>
            <w:r>
              <w:drawing>
                <wp:inline>
                  <wp:extent cx="5334000" cy="8297333"/>
                  <wp:effectExtent b="0" l="0" r="0" t="0"/>
                  <wp:docPr descr="" title="" id="45" name="Picture"/>
                  <a:graphic>
                    <a:graphicData uri="http://schemas.openxmlformats.org/drawingml/2006/picture">
                      <pic:pic>
                        <pic:nvPicPr>
                          <pic:cNvPr descr="figures/summary.png" id="46" name="Picture"/>
                          <pic:cNvPicPr>
                            <a:picLocks noChangeArrowheads="1" noChangeAspect="1"/>
                          </pic:cNvPicPr>
                        </pic:nvPicPr>
                        <pic:blipFill>
                          <a:blip r:embed="rId44"/>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7"/>
        </w:tc>
      </w:tr>
    </w:tbl>
    <w:bookmarkEnd w:id="48"/>
    <w:bookmarkStart w:id="49" w:name="comparing-inference"/>
    <w:p>
      <w:pPr>
        <w:pStyle w:val="Heading2"/>
      </w:pPr>
      <w:r>
        <w:t xml:space="preserve">7.2 Comparing inference</w:t>
      </w:r>
    </w:p>
    <w:bookmarkEnd w:id="49"/>
    <w:bookmarkStart w:id="57"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3" w:name="fig-extinction"/>
          <w:p>
            <w:pPr>
              <w:pStyle w:val="Compact"/>
              <w:jc w:val="center"/>
            </w:pPr>
            <w:r>
              <w:drawing>
                <wp:inline>
                  <wp:extent cx="5334000" cy="8297333"/>
                  <wp:effectExtent b="0" l="0" r="0" t="0"/>
                  <wp:docPr descr="" title="" id="51" name="Picture"/>
                  <a:graphic>
                    <a:graphicData uri="http://schemas.openxmlformats.org/drawingml/2006/picture">
                      <pic:pic>
                        <pic:nvPicPr>
                          <pic:cNvPr descr="figures/extinction.png" id="52" name="Picture"/>
                          <pic:cNvPicPr>
                            <a:picLocks noChangeArrowheads="1" noChangeAspect="1"/>
                          </pic:cNvPicPr>
                        </pic:nvPicPr>
                        <pic:blipFill>
                          <a:blip r:embed="rId50"/>
                          <a:stretch>
                            <a:fillRect/>
                          </a:stretch>
                        </pic:blipFill>
                        <pic:spPr bwMode="auto">
                          <a:xfrm>
                            <a:off x="0" y="0"/>
                            <a:ext cx="5334000" cy="829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3"/>
        </w:tc>
      </w:tr>
    </w:tbl>
    <w:p>
      <w:pPr>
        <w:pStyle w:val="CaptionedFigure"/>
      </w:pPr>
      <w:r>
        <w:drawing>
          <wp:inline>
            <wp:extent cx="5334000" cy="8297333"/>
            <wp:effectExtent b="0" l="0" r="0" t="0"/>
            <wp:docPr descr="Dark line indicates ‘real’ extinction simulation results the lighter lines show each model individually, which is also denoted by the linetype. For display purposes the counts for the different motifs are log transformed" title="" id="55" name="Picture"/>
            <a:graphic>
              <a:graphicData uri="http://schemas.openxmlformats.org/drawingml/2006/picture">
                <pic:pic>
                  <pic:nvPicPr>
                    <pic:cNvPr descr="figures/extinction_all_results.png" id="56" name="Picture"/>
                    <pic:cNvPicPr>
                      <a:picLocks noChangeArrowheads="1" noChangeAspect="1"/>
                    </pic:cNvPicPr>
                  </pic:nvPicPr>
                  <pic:blipFill>
                    <a:blip r:embed="rId54"/>
                    <a:stretch>
                      <a:fillRect/>
                    </a:stretch>
                  </pic:blipFill>
                  <pic:spPr bwMode="auto">
                    <a:xfrm>
                      <a:off x="0" y="0"/>
                      <a:ext cx="5334000" cy="8297333"/>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7"/>
    <w:bookmarkEnd w:id="58"/>
    <w:bookmarkStart w:id="107" w:name="references"/>
    <w:p>
      <w:pPr>
        <w:pStyle w:val="Heading1"/>
      </w:pPr>
      <w:r>
        <w:t xml:space="preserve">References</w:t>
      </w:r>
    </w:p>
    <w:bookmarkStart w:id="106" w:name="refs"/>
    <w:bookmarkStart w:id="60"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9">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0"/>
    <w:bookmarkStart w:id="62"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2"/>
    <w:bookmarkStart w:id="64"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3">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4"/>
    <w:bookmarkStart w:id="66"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5">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6"/>
    <w:bookmarkStart w:id="68"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7">
        <w:r>
          <w:rPr>
            <w:rStyle w:val="Hyperlink"/>
          </w:rPr>
          <w:t xml:space="preserve">A framework for reconstructing ancient food webs using functional trait data</w:t>
        </w:r>
      </w:hyperlink>
      <w:r>
        <w:t xml:space="preserve">bioRxiv, 2024.01.30.578036</w:t>
      </w:r>
    </w:p>
    <w:bookmarkEnd w:id="68"/>
    <w:bookmarkStart w:id="70" w:name="ref-roopnarine2006"/>
    <w:p>
      <w:pPr>
        <w:pStyle w:val="Bibliography"/>
      </w:pPr>
      <w:r>
        <w:t xml:space="preserve">6.</w:t>
      </w:r>
      <w:r>
        <w:t xml:space="preserve"> </w:t>
      </w:r>
      <w:r>
        <w:t xml:space="preserve">	</w:t>
      </w:r>
      <w:r>
        <w:t xml:space="preserve">Roopnarine, P.D. (2006)</w:t>
      </w:r>
      <w:r>
        <w:t xml:space="preserve"> </w:t>
      </w:r>
      <w:hyperlink r:id="rId69">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70"/>
    <w:bookmarkStart w:id="71"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71"/>
    <w:bookmarkStart w:id="73"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2">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3"/>
    <w:bookmarkStart w:id="75"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4">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5"/>
    <w:bookmarkStart w:id="77"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7"/>
    <w:bookmarkStart w:id="79"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8">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9"/>
    <w:bookmarkStart w:id="81" w:name="ref-gauzens2023"/>
    <w:p>
      <w:pPr>
        <w:pStyle w:val="Bibliography"/>
      </w:pPr>
      <w:r>
        <w:t xml:space="preserve">12.</w:t>
      </w:r>
      <w:r>
        <w:t xml:space="preserve"> </w:t>
      </w:r>
      <w:r>
        <w:t xml:space="preserve">	</w:t>
      </w:r>
      <w:r>
        <w:t xml:space="preserve">Gauzens, B.</w:t>
      </w:r>
      <w:r>
        <w:t xml:space="preserve"> </w:t>
      </w:r>
      <w:r>
        <w:rPr>
          <w:i/>
          <w:iCs/>
        </w:rPr>
        <w:t xml:space="preserve">et al.</w:t>
      </w:r>
      <w:r>
        <w:t xml:space="preserve"> </w:t>
      </w:r>
      <w:r>
        <w:t xml:space="preserve">(2023)</w:t>
      </w:r>
      <w:r>
        <w:t xml:space="preserve"> </w:t>
      </w:r>
      <w:hyperlink r:id="rId80">
        <w:r>
          <w:rPr>
            <w:rStyle w:val="Hyperlink"/>
          </w:rPr>
          <w:t xml:space="preserve">ATNr: Allometric Trophic Network models in R</w:t>
        </w:r>
      </w:hyperlink>
      <w:r>
        <w:t xml:space="preserve">.</w:t>
      </w:r>
      <w:r>
        <w:t xml:space="preserve"> </w:t>
      </w:r>
      <w:r>
        <w:rPr>
          <w:i/>
          <w:iCs/>
        </w:rPr>
        <w:t xml:space="preserve">Methods in Ecology and Evolution</w:t>
      </w:r>
      <w:r>
        <w:t xml:space="preserve"> </w:t>
      </w:r>
      <w:r>
        <w:t xml:space="preserve">14, 2766–2773</w:t>
      </w:r>
    </w:p>
    <w:bookmarkEnd w:id="81"/>
    <w:bookmarkStart w:id="83" w:name="ref-schneider2016"/>
    <w:p>
      <w:pPr>
        <w:pStyle w:val="Bibliography"/>
      </w:pPr>
      <w:r>
        <w:t xml:space="preserve">13.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82">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83"/>
    <w:bookmarkStart w:id="85" w:name="ref-williams2000"/>
    <w:p>
      <w:pPr>
        <w:pStyle w:val="Bibliography"/>
      </w:pPr>
      <w:r>
        <w:t xml:space="preserve">14.</w:t>
      </w:r>
      <w:r>
        <w:t xml:space="preserve"> </w:t>
      </w:r>
      <w:r>
        <w:t xml:space="preserve">	</w:t>
      </w:r>
      <w:r>
        <w:t xml:space="preserve">Williams, R.J. and Martinez, N.D. (2000)</w:t>
      </w:r>
      <w:r>
        <w:t xml:space="preserve"> </w:t>
      </w:r>
      <w:hyperlink r:id="rId8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85"/>
    <w:bookmarkStart w:id="87" w:name="ref-williams2008"/>
    <w:p>
      <w:pPr>
        <w:pStyle w:val="Bibliography"/>
      </w:pPr>
      <w:r>
        <w:t xml:space="preserve">15.</w:t>
      </w:r>
      <w:r>
        <w:t xml:space="preserve"> </w:t>
      </w:r>
      <w:r>
        <w:t xml:space="preserve">	</w:t>
      </w:r>
      <w:r>
        <w:t xml:space="preserve">Williams, R.J. and Martinez, N.D. (2008)</w:t>
      </w:r>
      <w:r>
        <w:t xml:space="preserve"> </w:t>
      </w:r>
      <w:hyperlink r:id="rId86">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7"/>
    <w:bookmarkStart w:id="89" w:name="ref-delmas2018"/>
    <w:p>
      <w:pPr>
        <w:pStyle w:val="Bibliography"/>
      </w:pPr>
      <w:r>
        <w:t xml:space="preserve">16.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8">
        <w:r>
          <w:rPr>
            <w:rStyle w:val="Hyperlink"/>
          </w:rPr>
          <w:t xml:space="preserve">10.1111/brv.12433</w:t>
        </w:r>
      </w:hyperlink>
    </w:p>
    <w:bookmarkEnd w:id="89"/>
    <w:bookmarkStart w:id="91" w:name="ref-allesina2008"/>
    <w:p>
      <w:pPr>
        <w:pStyle w:val="Bibliography"/>
      </w:pPr>
      <w:r>
        <w:t xml:space="preserve">17.</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90">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91"/>
    <w:bookmarkStart w:id="93" w:name="ref-martinez1992"/>
    <w:p>
      <w:pPr>
        <w:pStyle w:val="Bibliography"/>
      </w:pPr>
      <w:r>
        <w:t xml:space="preserve">18.</w:t>
      </w:r>
      <w:r>
        <w:t xml:space="preserve"> </w:t>
      </w:r>
      <w:r>
        <w:t xml:space="preserve">	</w:t>
      </w:r>
      <w:r>
        <w:t xml:space="preserve">Martinez, N.D. (1992)</w:t>
      </w:r>
      <w:r>
        <w:t xml:space="preserve"> </w:t>
      </w:r>
      <w:hyperlink r:id="rId92">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93"/>
    <w:bookmarkStart w:id="95" w:name="ref-strydom2021b"/>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95"/>
    <w:bookmarkStart w:id="97" w:name="ref-strydom2021"/>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6">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7"/>
    <w:bookmarkStart w:id="99" w:name="ref-milo2002"/>
    <w:p>
      <w:pPr>
        <w:pStyle w:val="Bibliography"/>
      </w:pPr>
      <w:r>
        <w:t xml:space="preserve">21.</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8">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9"/>
    <w:bookmarkStart w:id="101" w:name="ref-stouffer2007"/>
    <w:p>
      <w:pPr>
        <w:pStyle w:val="Bibliography"/>
      </w:pPr>
      <w:r>
        <w:t xml:space="preserve">22.</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00">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01"/>
    <w:bookmarkStart w:id="103" w:name="ref-schoener1989"/>
    <w:p>
      <w:pPr>
        <w:pStyle w:val="Bibliography"/>
      </w:pPr>
      <w:r>
        <w:t xml:space="preserve">23.</w:t>
      </w:r>
      <w:r>
        <w:t xml:space="preserve"> </w:t>
      </w:r>
      <w:r>
        <w:t xml:space="preserve">	</w:t>
      </w:r>
      <w:r>
        <w:t xml:space="preserve">Schoener, T.W. (1989)</w:t>
      </w:r>
      <w:r>
        <w:t xml:space="preserve"> </w:t>
      </w:r>
      <w:hyperlink r:id="rId10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03"/>
    <w:bookmarkStart w:id="105" w:name="ref-poisot2012"/>
    <w:p>
      <w:pPr>
        <w:pStyle w:val="Bibliography"/>
      </w:pPr>
      <w:r>
        <w:t xml:space="preserve">24.</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0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92" Target="http://www.jstor.org/stable/2462337" TargetMode="External" /><Relationship Type="http://schemas.openxmlformats.org/officeDocument/2006/relationships/hyperlink" Id="rId84" Target="https://doi.org/10.1038/35004572" TargetMode="External" /><Relationship Type="http://schemas.openxmlformats.org/officeDocument/2006/relationships/hyperlink" Id="rId82" Target="https://doi.org/10.1038/ncomms12718" TargetMode="External" /><Relationship Type="http://schemas.openxmlformats.org/officeDocument/2006/relationships/hyperlink" Id="rId59" Target="https://doi.org/10.1038/s41467-024-53000-2" TargetMode="External" /><Relationship Type="http://schemas.openxmlformats.org/officeDocument/2006/relationships/hyperlink" Id="rId74" Target="https://doi.org/10.1073/pnas.0710672105" TargetMode="External" /><Relationship Type="http://schemas.openxmlformats.org/officeDocument/2006/relationships/hyperlink" Id="rId78" Target="https://doi.org/10.1073/pnas.1408471111" TargetMode="External" /><Relationship Type="http://schemas.openxmlformats.org/officeDocument/2006/relationships/hyperlink" Id="rId76" Target="https://doi.org/10.1086/653667" TargetMode="External" /><Relationship Type="http://schemas.openxmlformats.org/officeDocument/2006/relationships/hyperlink" Id="rId100" Target="https://doi.org/10.1098/rspb.2007.0571" TargetMode="External" /><Relationship Type="http://schemas.openxmlformats.org/officeDocument/2006/relationships/hyperlink" Id="rId94" Target="https://doi.org/10.1098/rstb.2021.0063" TargetMode="External" /><Relationship Type="http://schemas.openxmlformats.org/officeDocument/2006/relationships/hyperlink" Id="rId67" Target="https://doi.org/10.1101/2024.01.30.578036" TargetMode="External" /><Relationship Type="http://schemas.openxmlformats.org/officeDocument/2006/relationships/hyperlink" Id="rId80" Target="https://doi.org/10.1111/2041-210X.14212" TargetMode="External" /><Relationship Type="http://schemas.openxmlformats.org/officeDocument/2006/relationships/hyperlink" Id="rId61" Target="https://doi.org/10.1111/2041-210X.14228" TargetMode="External" /><Relationship Type="http://schemas.openxmlformats.org/officeDocument/2006/relationships/hyperlink" Id="rId88" Target="https://doi.org/10.1111/brv.12433" TargetMode="External" /><Relationship Type="http://schemas.openxmlformats.org/officeDocument/2006/relationships/hyperlink" Id="rId63" Target="https://doi.org/10.1111/ele.13966" TargetMode="External" /><Relationship Type="http://schemas.openxmlformats.org/officeDocument/2006/relationships/hyperlink" Id="rId86" Target="https://doi.org/10.1111/j.1365-2656.2008.01362.x" TargetMode="External" /><Relationship Type="http://schemas.openxmlformats.org/officeDocument/2006/relationships/hyperlink" Id="rId72" Target="https://doi.org/10.1111/j.1475-4983.2006.00611.x" TargetMode="External" /><Relationship Type="http://schemas.openxmlformats.org/officeDocument/2006/relationships/hyperlink" Id="rId104" Target="https://doi.org/10.1111/j.2041-210x.2011.00174.x" TargetMode="External" /><Relationship Type="http://schemas.openxmlformats.org/officeDocument/2006/relationships/hyperlink" Id="rId90" Target="https://doi.org/10.1126/science.1156269" TargetMode="External" /><Relationship Type="http://schemas.openxmlformats.org/officeDocument/2006/relationships/hyperlink" Id="rId98" Target="https://doi.org/10.1126/science.298.5594.824" TargetMode="External" /><Relationship Type="http://schemas.openxmlformats.org/officeDocument/2006/relationships/hyperlink" Id="rId65" Target="https://doi.org/10.1126/science.abn4012" TargetMode="External" /><Relationship Type="http://schemas.openxmlformats.org/officeDocument/2006/relationships/hyperlink" Id="rId102" Target="https://doi.org/10.2307/1938088" TargetMode="External" /><Relationship Type="http://schemas.openxmlformats.org/officeDocument/2006/relationships/hyperlink" Id="rId96" Target="https://doi.org/10.3389/fevo.2021.623141" TargetMode="External" /><Relationship Type="http://schemas.openxmlformats.org/officeDocument/2006/relationships/hyperlink" Id="rId69"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2025-03-18T13:50:27Z</dcterms:created>
  <dcterms:modified xsi:type="dcterms:W3CDTF">2025-03-18T13:50:27Z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2025-03-18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